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hRule="auto" w:wrap="auto" w:vAnchor="margin" w:hAnchor="text" w:yAlign="inline"/>
        <w:rPr>
          <w:sz w:val="24"/>
          <w:szCs w:val="24"/>
        </w:rPr>
      </w:pPr>
      <w:r>
        <w:rPr>
          <w:rFonts w:hint="eastAsia" w:ascii="Arial Unicode MS" w:hAnsi="Arial Unicode MS" w:eastAsia="Arial Unicode MS" w:cs="Arial Unicode MS"/>
          <w:b w:val="0"/>
          <w:bCs w:val="0"/>
          <w:i w:val="0"/>
          <w:iCs w:val="0"/>
          <w:sz w:val="24"/>
          <w:szCs w:val="24"/>
          <w:rtl w:val="0"/>
          <w:lang w:val="zh-TW" w:eastAsia="zh-TW"/>
        </w:rPr>
        <w:t>报告题目：</w:t>
      </w:r>
      <w:r>
        <w:rPr>
          <w:rFonts w:ascii="Times New Roman" w:hAnsi="Times New Roman"/>
          <w:sz w:val="24"/>
          <w:szCs w:val="24"/>
          <w:rtl w:val="0"/>
          <w:lang w:val="en-US"/>
        </w:rPr>
        <w:t>Wiley</w:t>
      </w:r>
      <w:r>
        <w:rPr>
          <w:rFonts w:hint="eastAsia" w:ascii="Arial Unicode MS" w:hAnsi="Arial Unicode MS" w:eastAsia="Arial Unicode MS" w:cs="Arial Unicode MS"/>
          <w:b w:val="0"/>
          <w:bCs w:val="0"/>
          <w:i w:val="0"/>
          <w:iCs w:val="0"/>
          <w:sz w:val="24"/>
          <w:szCs w:val="24"/>
          <w:rtl w:val="0"/>
          <w:lang w:val="zh-TW" w:eastAsia="zh-TW"/>
        </w:rPr>
        <w:t>材料科学期刊论文发表</w:t>
      </w:r>
      <w:r>
        <w:rPr>
          <w:rFonts w:hint="default" w:ascii="Calibri" w:hAnsi="Calibri"/>
          <w:b/>
          <w:bCs/>
          <w:sz w:val="24"/>
          <w:szCs w:val="24"/>
          <w:rtl w:val="0"/>
          <w:lang w:val="en-US"/>
        </w:rPr>
        <w:t>——</w:t>
      </w:r>
      <w:r>
        <w:rPr>
          <w:rFonts w:hint="eastAsia" w:ascii="Arial Unicode MS" w:hAnsi="Arial Unicode MS" w:eastAsia="Arial Unicode MS" w:cs="Arial Unicode MS"/>
          <w:b w:val="0"/>
          <w:bCs w:val="0"/>
          <w:i w:val="0"/>
          <w:iCs w:val="0"/>
          <w:sz w:val="24"/>
          <w:szCs w:val="24"/>
          <w:rtl w:val="0"/>
          <w:lang w:val="zh-TW" w:eastAsia="zh-TW"/>
        </w:rPr>
        <w:t>如何提高稿件的接受率</w:t>
      </w:r>
    </w:p>
    <w:p>
      <w:pPr>
        <w:pStyle w:val="8"/>
        <w:framePr w:w="0" w:hRule="auto" w:wrap="auto" w:vAnchor="margin" w:hAnchor="text" w:yAlign="inline"/>
        <w:spacing w:before="100" w:after="100" w:line="375" w:lineRule="atLeast"/>
        <w:rPr>
          <w:rFonts w:ascii="Times New Roman" w:hAnsi="Times New Roman" w:eastAsia="Times New Roman" w:cs="Times New Roman"/>
          <w:sz w:val="24"/>
          <w:szCs w:val="24"/>
        </w:rPr>
      </w:pPr>
      <w:r>
        <w:rPr>
          <w:rFonts w:hint="eastAsia" w:ascii="Arial Unicode MS" w:hAnsi="Arial Unicode MS" w:eastAsia="Arial Unicode MS" w:cs="Arial Unicode MS"/>
          <w:b w:val="0"/>
          <w:bCs w:val="0"/>
          <w:i w:val="0"/>
          <w:iCs w:val="0"/>
          <w:sz w:val="24"/>
          <w:szCs w:val="24"/>
          <w:rtl w:val="0"/>
          <w:lang w:val="zh-TW" w:eastAsia="zh-TW"/>
        </w:rPr>
        <w:t>报</w:t>
      </w:r>
      <w:r>
        <w:rPr>
          <w:rFonts w:ascii="Times New Roman" w:hAnsi="Times New Roman"/>
          <w:b/>
          <w:bCs/>
          <w:sz w:val="24"/>
          <w:szCs w:val="24"/>
          <w:rtl w:val="0"/>
        </w:rPr>
        <w:t xml:space="preserve"> </w:t>
      </w:r>
      <w:r>
        <w:rPr>
          <w:rFonts w:hint="eastAsia" w:ascii="Arial Unicode MS" w:hAnsi="Arial Unicode MS" w:eastAsia="Arial Unicode MS" w:cs="Arial Unicode MS"/>
          <w:b w:val="0"/>
          <w:bCs w:val="0"/>
          <w:i w:val="0"/>
          <w:iCs w:val="0"/>
          <w:sz w:val="24"/>
          <w:szCs w:val="24"/>
          <w:rtl w:val="0"/>
          <w:lang w:val="zh-TW" w:eastAsia="zh-TW"/>
        </w:rPr>
        <w:t>告</w:t>
      </w:r>
      <w:r>
        <w:rPr>
          <w:rFonts w:ascii="Times New Roman" w:hAnsi="Times New Roman"/>
          <w:b/>
          <w:bCs/>
          <w:sz w:val="24"/>
          <w:szCs w:val="24"/>
          <w:rtl w:val="0"/>
        </w:rPr>
        <w:t xml:space="preserve"> </w:t>
      </w:r>
      <w:r>
        <w:rPr>
          <w:rFonts w:hint="eastAsia" w:ascii="Arial Unicode MS" w:hAnsi="Arial Unicode MS" w:eastAsia="Arial Unicode MS" w:cs="Arial Unicode MS"/>
          <w:b w:val="0"/>
          <w:bCs w:val="0"/>
          <w:i w:val="0"/>
          <w:iCs w:val="0"/>
          <w:sz w:val="24"/>
          <w:szCs w:val="24"/>
          <w:rtl w:val="0"/>
          <w:lang w:val="zh-TW" w:eastAsia="zh-TW"/>
        </w:rPr>
        <w:t>人：马露露博士，</w:t>
      </w:r>
      <w:r>
        <w:rPr>
          <w:rFonts w:ascii="Times New Roman" w:hAnsi="Times New Roman"/>
          <w:sz w:val="24"/>
          <w:szCs w:val="24"/>
          <w:rtl w:val="0"/>
          <w:lang w:val="en-US"/>
        </w:rPr>
        <w:t xml:space="preserve">Wiley </w:t>
      </w:r>
      <w:r>
        <w:rPr>
          <w:rFonts w:hint="eastAsia" w:ascii="Arial Unicode MS" w:hAnsi="Arial Unicode MS" w:eastAsia="Arial Unicode MS" w:cs="Arial Unicode MS"/>
          <w:b w:val="0"/>
          <w:bCs w:val="0"/>
          <w:i w:val="0"/>
          <w:iCs w:val="0"/>
          <w:sz w:val="24"/>
          <w:szCs w:val="24"/>
          <w:rtl w:val="0"/>
          <w:lang w:val="zh-TW" w:eastAsia="zh-TW"/>
        </w:rPr>
        <w:t>材料科学期刊编辑</w:t>
      </w:r>
    </w:p>
    <w:p>
      <w:pPr>
        <w:pStyle w:val="2"/>
        <w:framePr w:w="0" w:hRule="auto" w:wrap="auto" w:vAnchor="margin" w:hAnchor="text" w:yAlign="inline"/>
        <w:rPr>
          <w:b/>
          <w:bCs/>
        </w:rPr>
      </w:pPr>
    </w:p>
    <w:p>
      <w:pPr>
        <w:pStyle w:val="2"/>
        <w:framePr w:w="0" w:hRule="auto" w:wrap="auto" w:vAnchor="margin" w:hAnchor="text" w:yAlign="inline"/>
        <w:rPr>
          <w:b/>
          <w:bCs/>
          <w:lang w:val="zh-TW" w:eastAsia="zh-TW"/>
        </w:rPr>
      </w:pPr>
      <w:r>
        <w:rPr>
          <w:rFonts w:hint="eastAsia" w:ascii="Arial Unicode MS" w:hAnsi="Arial Unicode MS" w:eastAsia="Arial Unicode MS" w:cs="Arial Unicode MS"/>
          <w:b w:val="0"/>
          <w:bCs w:val="0"/>
          <w:i w:val="0"/>
          <w:iCs w:val="0"/>
          <w:rtl w:val="0"/>
          <w:lang w:val="zh-TW" w:eastAsia="zh-TW"/>
        </w:rPr>
        <w:t>摘要：</w:t>
      </w:r>
    </w:p>
    <w:p>
      <w:pPr>
        <w:pStyle w:val="8"/>
        <w:framePr w:w="0" w:hRule="auto" w:wrap="auto" w:vAnchor="margin" w:hAnchor="text" w:yAlign="inline"/>
        <w:spacing w:before="100" w:after="100" w:line="375" w:lineRule="atLeast"/>
        <w:outlineLvl w:val="2"/>
        <w:rPr>
          <w:rFonts w:ascii="Times New Roman" w:hAnsi="Times New Roman" w:eastAsia="Times New Roman" w:cs="Times New Roman"/>
          <w:sz w:val="24"/>
          <w:szCs w:val="24"/>
        </w:rPr>
      </w:pPr>
      <w:r>
        <w:rPr>
          <w:rFonts w:ascii="Times New Roman" w:hAnsi="Times New Roman"/>
          <w:sz w:val="24"/>
          <w:szCs w:val="24"/>
          <w:rtl w:val="0"/>
          <w:lang w:val="en-US"/>
        </w:rPr>
        <w:t>A highly competitive res</w:t>
      </w:r>
      <w:bookmarkStart w:id="1" w:name="_GoBack"/>
      <w:bookmarkEnd w:id="1"/>
      <w:r>
        <w:rPr>
          <w:rFonts w:ascii="Times New Roman" w:hAnsi="Times New Roman"/>
          <w:sz w:val="24"/>
          <w:szCs w:val="24"/>
          <w:rtl w:val="0"/>
          <w:lang w:val="en-US"/>
        </w:rPr>
        <w:t xml:space="preserve">earch environment with increasingly limited research funding has created a </w:t>
      </w:r>
      <w:r>
        <w:rPr>
          <w:rFonts w:hint="default" w:ascii="Times New Roman" w:hAnsi="Times New Roman"/>
          <w:sz w:val="24"/>
          <w:szCs w:val="24"/>
          <w:rtl w:val="0"/>
          <w:lang w:val="en-US"/>
        </w:rPr>
        <w:t>“</w:t>
      </w:r>
      <w:r>
        <w:rPr>
          <w:rFonts w:ascii="Times New Roman" w:hAnsi="Times New Roman"/>
          <w:sz w:val="24"/>
          <w:szCs w:val="24"/>
          <w:rtl w:val="0"/>
          <w:lang w:val="en-US"/>
        </w:rPr>
        <w:t>Publish or Perish</w:t>
      </w:r>
      <w:r>
        <w:rPr>
          <w:rFonts w:hint="default" w:ascii="Times New Roman" w:hAnsi="Times New Roman"/>
          <w:sz w:val="24"/>
          <w:szCs w:val="24"/>
          <w:rtl w:val="0"/>
          <w:lang w:val="en-US"/>
        </w:rPr>
        <w:t xml:space="preserve">” </w:t>
      </w:r>
      <w:r>
        <w:rPr>
          <w:rFonts w:ascii="Times New Roman" w:hAnsi="Times New Roman"/>
          <w:sz w:val="24"/>
          <w:szCs w:val="24"/>
          <w:rtl w:val="0"/>
          <w:lang w:val="en-US"/>
        </w:rPr>
        <w:t>attitude among scientists who are judged on the quantity rather than quality of their research articles. This presentation provides a brief overview of current trends and challenges in scientific publishing, some ethical considerations, how publishers and authors interact and influence each other, and how the publishing arena is being transformed. Tips will be presented on how to select an appropriate journal for your paper, what aspects of preparation and presentation to focus on from an editor</w:t>
      </w:r>
      <w:r>
        <w:rPr>
          <w:rFonts w:hint="default" w:ascii="Times New Roman" w:hAnsi="Times New Roman"/>
          <w:sz w:val="24"/>
          <w:szCs w:val="24"/>
          <w:rtl w:val="0"/>
          <w:lang w:val="en-US"/>
        </w:rPr>
        <w:t>’</w:t>
      </w:r>
      <w:r>
        <w:rPr>
          <w:rFonts w:ascii="Times New Roman" w:hAnsi="Times New Roman"/>
          <w:sz w:val="24"/>
          <w:szCs w:val="24"/>
          <w:rtl w:val="0"/>
          <w:lang w:val="en-US"/>
        </w:rPr>
        <w:t>s and referee</w:t>
      </w:r>
      <w:r>
        <w:rPr>
          <w:rFonts w:hint="default" w:ascii="Times New Roman" w:hAnsi="Times New Roman"/>
          <w:sz w:val="24"/>
          <w:szCs w:val="24"/>
          <w:rtl w:val="0"/>
          <w:lang w:val="en-US"/>
        </w:rPr>
        <w:t>’</w:t>
      </w:r>
      <w:r>
        <w:rPr>
          <w:rFonts w:ascii="Times New Roman" w:hAnsi="Times New Roman"/>
          <w:sz w:val="24"/>
          <w:szCs w:val="24"/>
          <w:rtl w:val="0"/>
          <w:lang w:val="en-US"/>
        </w:rPr>
        <w:t>s perspective, and hints for increasing the discoverability of your paper after publication.</w:t>
      </w:r>
    </w:p>
    <w:p>
      <w:pPr>
        <w:pStyle w:val="8"/>
        <w:framePr w:w="0" w:hRule="auto" w:wrap="auto" w:vAnchor="margin" w:hAnchor="text" w:yAlign="inline"/>
        <w:spacing w:before="100" w:after="100" w:line="375" w:lineRule="atLeast"/>
        <w:outlineLvl w:val="2"/>
        <w:rPr>
          <w:rFonts w:ascii="Cambria" w:hAnsi="Cambria" w:eastAsia="Cambria" w:cs="Cambria"/>
          <w:b/>
          <w:bCs/>
          <w:sz w:val="24"/>
          <w:szCs w:val="24"/>
        </w:rPr>
      </w:pPr>
    </w:p>
    <w:p>
      <w:pPr>
        <w:pStyle w:val="8"/>
        <w:framePr w:w="0" w:hRule="auto" w:wrap="auto" w:vAnchor="margin" w:hAnchor="text" w:yAlign="inline"/>
        <w:spacing w:before="100" w:after="100" w:line="375" w:lineRule="atLeast"/>
        <w:outlineLvl w:val="2"/>
        <w:rPr>
          <w:rFonts w:ascii="Cambria" w:hAnsi="Cambria" w:eastAsia="Cambria" w:cs="Cambria"/>
          <w:b/>
          <w:bCs/>
          <w:sz w:val="24"/>
          <w:szCs w:val="24"/>
        </w:rPr>
      </w:pPr>
      <w:r>
        <w:rPr>
          <w:rFonts w:hint="eastAsia" w:ascii="Arial Unicode MS" w:hAnsi="Arial Unicode MS" w:eastAsia="Arial Unicode MS" w:cs="Arial Unicode MS"/>
          <w:b w:val="0"/>
          <w:bCs w:val="0"/>
          <w:i w:val="0"/>
          <w:iCs w:val="0"/>
          <w:sz w:val="24"/>
          <w:szCs w:val="24"/>
          <w:rtl w:val="0"/>
          <w:lang w:val="zh-TW" w:eastAsia="zh-TW"/>
        </w:rPr>
        <w:t>报告人简介：</w:t>
      </w:r>
    </w:p>
    <w:p>
      <w:pPr>
        <w:pStyle w:val="8"/>
        <w:framePr w:w="0" w:hRule="auto" w:wrap="auto" w:vAnchor="margin" w:hAnchor="text" w:yAlign="inline"/>
        <w:spacing w:before="100" w:after="100" w:line="375" w:lineRule="atLeast"/>
        <w:outlineLvl w:val="2"/>
        <w:rPr>
          <w:rFonts w:hint="default" w:ascii="Times New Roman" w:hAnsi="Times New Roman" w:eastAsia="黑体" w:cs="Times New Roman"/>
          <w:b w:val="0"/>
          <w:bCs w:val="0"/>
          <w:color w:val="000000" w:themeColor="text1"/>
          <w:sz w:val="24"/>
          <w:szCs w:val="24"/>
          <w14:textFill>
            <w14:solidFill>
              <w14:schemeClr w14:val="tx1"/>
            </w14:solidFill>
          </w14:textFill>
        </w:rPr>
      </w:pPr>
      <w:bookmarkStart w:id="0" w:name="_Hlk1987869"/>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马露露，</w:t>
      </w:r>
      <w:r>
        <w:rPr>
          <w:rFonts w:hint="default" w:ascii="Times New Roman" w:hAnsi="Times New Roman" w:eastAsia="黑体" w:cs="Times New Roman"/>
          <w:b w:val="0"/>
          <w:bCs w:val="0"/>
          <w:color w:val="000000" w:themeColor="text1"/>
          <w:sz w:val="24"/>
          <w:szCs w:val="24"/>
          <w:rtl w:val="0"/>
          <w14:textFill>
            <w14:solidFill>
              <w14:schemeClr w14:val="tx1"/>
            </w14:solidFill>
          </w14:textFill>
        </w:rPr>
        <w:t>2010</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年本科毕业于北京化工大学化学工程与工艺系，</w:t>
      </w:r>
      <w:r>
        <w:rPr>
          <w:rFonts w:hint="default" w:ascii="Times New Roman" w:hAnsi="Times New Roman" w:eastAsia="黑体" w:cs="Times New Roman"/>
          <w:b w:val="0"/>
          <w:bCs w:val="0"/>
          <w:color w:val="000000" w:themeColor="text1"/>
          <w:sz w:val="24"/>
          <w:szCs w:val="24"/>
          <w:rtl w:val="0"/>
          <w14:textFill>
            <w14:solidFill>
              <w14:schemeClr w14:val="tx1"/>
            </w14:solidFill>
          </w14:textFill>
        </w:rPr>
        <w:t>2015</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年</w:t>
      </w:r>
      <w:r>
        <w:rPr>
          <w:rFonts w:hint="default" w:ascii="Times New Roman" w:hAnsi="Times New Roman" w:eastAsia="黑体" w:cs="Times New Roman"/>
          <w:b w:val="0"/>
          <w:bCs w:val="0"/>
          <w:color w:val="000000" w:themeColor="text1"/>
          <w:sz w:val="24"/>
          <w:szCs w:val="24"/>
          <w:rtl w:val="0"/>
          <w14:textFill>
            <w14:solidFill>
              <w14:schemeClr w14:val="tx1"/>
            </w14:solidFill>
          </w14:textFill>
        </w:rPr>
        <w:t>3</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月在美国莱斯大学材料科学与纳米工程系获得博士学位，研究领域为无机非金属材料和能源催化。随后加入</w:t>
      </w:r>
      <w:r>
        <w:rPr>
          <w:rFonts w:hint="default" w:ascii="Times New Roman" w:hAnsi="Times New Roman" w:eastAsia="黑体" w:cs="Times New Roman"/>
          <w:b w:val="0"/>
          <w:bCs w:val="0"/>
          <w:color w:val="000000" w:themeColor="text1"/>
          <w:sz w:val="24"/>
          <w:szCs w:val="24"/>
          <w:rtl w:val="0"/>
          <w:lang w:val="en-US"/>
          <w14:textFill>
            <w14:solidFill>
              <w14:schemeClr w14:val="tx1"/>
            </w14:solidFill>
          </w14:textFill>
        </w:rPr>
        <w:t>Wiley</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出版社，目前负责旗下材料科学期刊</w:t>
      </w:r>
      <w:r>
        <w:rPr>
          <w:rFonts w:hint="default" w:ascii="Times New Roman" w:hAnsi="Times New Roman" w:eastAsia="黑体" w:cs="Times New Roman"/>
          <w:b w:val="0"/>
          <w:bCs w:val="0"/>
          <w:color w:val="000000" w:themeColor="text1"/>
          <w:sz w:val="24"/>
          <w:szCs w:val="24"/>
          <w:rtl w:val="0"/>
          <w14:textFill>
            <w14:solidFill>
              <w14:schemeClr w14:val="tx1"/>
            </w14:solidFill>
          </w14:textFill>
        </w:rPr>
        <w:t xml:space="preserve"> (Small</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w:t>
      </w:r>
      <w:r>
        <w:rPr>
          <w:rFonts w:hint="default" w:ascii="Times New Roman" w:hAnsi="Times New Roman" w:eastAsia="黑体" w:cs="Times New Roman"/>
          <w:b w:val="0"/>
          <w:bCs w:val="0"/>
          <w:color w:val="000000" w:themeColor="text1"/>
          <w:sz w:val="24"/>
          <w:szCs w:val="24"/>
          <w:rtl w:val="0"/>
          <w:lang w:val="en-US"/>
          <w14:textFill>
            <w14:solidFill>
              <w14:schemeClr w14:val="tx1"/>
            </w14:solidFill>
          </w14:textFill>
        </w:rPr>
        <w:t>Solar RRL, Advanced Energy Materials</w:t>
      </w:r>
      <w:r>
        <w:rPr>
          <w:rFonts w:hint="default" w:ascii="Times New Roman" w:hAnsi="Times New Roman" w:eastAsia="黑体" w:cs="Times New Roman"/>
          <w:b w:val="0"/>
          <w:bCs w:val="0"/>
          <w:i w:val="0"/>
          <w:iCs w:val="0"/>
          <w:color w:val="000000" w:themeColor="text1"/>
          <w:sz w:val="24"/>
          <w:szCs w:val="24"/>
          <w:rtl w:val="0"/>
          <w:lang w:val="zh-TW" w:eastAsia="zh-TW"/>
          <w14:textFill>
            <w14:solidFill>
              <w14:schemeClr w14:val="tx1"/>
            </w14:solidFill>
          </w14:textFill>
        </w:rPr>
        <w:t>、</w:t>
      </w:r>
      <w:r>
        <w:rPr>
          <w:rFonts w:hint="default" w:ascii="Times New Roman" w:hAnsi="Times New Roman" w:eastAsia="黑体" w:cs="Times New Roman"/>
          <w:b w:val="0"/>
          <w:bCs w:val="0"/>
          <w:color w:val="000000" w:themeColor="text1"/>
          <w:sz w:val="24"/>
          <w:szCs w:val="24"/>
          <w:rtl w:val="0"/>
          <w:lang w:val="en-US"/>
          <w14:textFill>
            <w14:solidFill>
              <w14:schemeClr w14:val="tx1"/>
            </w14:solidFill>
          </w14:textFill>
        </w:rPr>
        <w:t>Advanced Engineering Materials</w:t>
      </w:r>
      <w:r>
        <w:rPr>
          <w:rFonts w:hint="default" w:ascii="Times New Roman" w:hAnsi="Times New Roman" w:eastAsia="黑体" w:cs="Times New Roman"/>
          <w:b w:val="0"/>
          <w:bCs w:val="0"/>
          <w:i w:val="0"/>
          <w:iCs w:val="0"/>
          <w:color w:val="000000" w:themeColor="text1"/>
          <w:sz w:val="24"/>
          <w:szCs w:val="24"/>
          <w:rtl w:val="0"/>
          <w:lang w:val="zh-CN" w:eastAsia="zh-CN"/>
          <w14:textFill>
            <w14:solidFill>
              <w14:schemeClr w14:val="tx1"/>
            </w14:solidFill>
          </w14:textFill>
        </w:rPr>
        <w:t>、</w:t>
      </w:r>
      <w:r>
        <w:rPr>
          <w:rFonts w:hint="default" w:ascii="Times New Roman" w:hAnsi="Times New Roman" w:eastAsia="黑体" w:cs="Times New Roman"/>
          <w:b w:val="0"/>
          <w:bCs w:val="0"/>
          <w:color w:val="000000" w:themeColor="text1"/>
          <w:sz w:val="24"/>
          <w:szCs w:val="24"/>
          <w:rtl w:val="0"/>
          <w:lang w:val="zh-CN" w:eastAsia="zh-CN"/>
          <w14:textFill>
            <w14:solidFill>
              <w14:schemeClr w14:val="tx1"/>
            </w14:solidFill>
          </w14:textFill>
        </w:rPr>
        <w:t>Energy Technology</w:t>
      </w:r>
      <w:r>
        <w:rPr>
          <w:rFonts w:hint="default" w:ascii="Times New Roman" w:hAnsi="Times New Roman" w:eastAsia="黑体" w:cs="Times New Roman"/>
          <w:b w:val="0"/>
          <w:bCs w:val="0"/>
          <w:color w:val="000000" w:themeColor="text1"/>
          <w:sz w:val="24"/>
          <w:szCs w:val="24"/>
          <w:rtl w:val="0"/>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rtl w:val="0"/>
          <w:lang w:val="zh-TW" w:eastAsia="zh-TW"/>
          <w14:textFill>
            <w14:solidFill>
              <w14:schemeClr w14:val="tx1"/>
            </w14:solidFill>
          </w14:textFill>
        </w:rPr>
        <w:t>的编辑工作。</w:t>
      </w:r>
      <w:bookmarkEnd w:id="0"/>
    </w:p>
    <w:p>
      <w:pPr>
        <w:pStyle w:val="8"/>
        <w:framePr w:w="0" w:hRule="auto" w:wrap="auto" w:vAnchor="margin" w:hAnchor="text" w:yAlign="inline"/>
        <w:spacing w:before="100" w:after="100" w:line="375" w:lineRule="atLeast"/>
        <w:jc w:val="center"/>
        <w:outlineLvl w:val="2"/>
        <w:rPr>
          <w:rFonts w:ascii="Times New Roman" w:hAnsi="Times New Roman" w:eastAsia="Times New Roman" w:cs="Times New Roman"/>
          <w:sz w:val="24"/>
          <w:szCs w:val="24"/>
        </w:rPr>
      </w:pPr>
    </w:p>
    <w:p>
      <w:pPr>
        <w:pStyle w:val="8"/>
        <w:framePr w:w="0" w:hRule="auto" w:wrap="auto" w:vAnchor="margin" w:hAnchor="text" w:yAlign="inline"/>
        <w:spacing w:before="100" w:after="100" w:line="375" w:lineRule="atLeast"/>
        <w:outlineLvl w:val="2"/>
      </w:pPr>
      <w:r>
        <w:rPr>
          <w:rFonts w:ascii="Times New Roman" w:hAnsi="Times New Roman"/>
          <w:sz w:val="24"/>
          <w:szCs w:val="24"/>
          <w:rtl w:val="0"/>
        </w:rPr>
        <w:t xml:space="preserve"> </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92B661F"/>
    <w:rsid w:val="4E743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vertAlign w:val="baseline"/>
      <w:lang w:val="en-US"/>
    </w:rPr>
  </w:style>
  <w:style w:type="character" w:styleId="5">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hint="eastAsia" w:ascii="Arial Unicode MS" w:hAnsi="Arial Unicode MS" w:eastAsia="Calibri" w:cs="Arial Unicode MS"/>
      <w:color w:val="000000"/>
      <w:spacing w:val="0"/>
      <w:w w:val="100"/>
      <w:kern w:val="0"/>
      <w:position w:val="0"/>
      <w:sz w:val="22"/>
      <w:szCs w:val="22"/>
      <w:u w:val="none" w:color="000000"/>
      <w:vertAlign w:val="baseline"/>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2019-06-18T01:16:02Z</dcterms:created>
  <dc:creator>化工学院</dc:creator>
  <cp:lastModifiedBy>邱介山</cp:lastModifiedBy>
  <dcterms:modified xsi:type="dcterms:W3CDTF">2019-06-18T01:25:52Z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